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8A6" w:rsidRDefault="008D08FC">
      <w:pPr>
        <w:jc w:val="center"/>
        <w:rPr>
          <w:rFonts w:ascii="Comic Sans MS" w:eastAsia="Comic Sans MS" w:hAnsi="Comic Sans MS" w:cs="Comic Sans MS"/>
          <w:b/>
          <w:color w:val="333333"/>
          <w:sz w:val="36"/>
          <w:szCs w:val="36"/>
          <w:highlight w:val="white"/>
        </w:rPr>
      </w:pPr>
      <w:bookmarkStart w:id="0" w:name="_GoBack"/>
      <w:bookmarkEnd w:id="0"/>
      <w:r>
        <w:rPr>
          <w:rFonts w:ascii="Comic Sans MS" w:eastAsia="Comic Sans MS" w:hAnsi="Comic Sans MS" w:cs="Comic Sans MS"/>
          <w:b/>
          <w:color w:val="333333"/>
          <w:sz w:val="36"/>
          <w:szCs w:val="36"/>
          <w:highlight w:val="white"/>
        </w:rPr>
        <w:t xml:space="preserve">TEACH ME HOW TO WSCPAR </w:t>
      </w:r>
    </w:p>
    <w:p w:rsidR="00AC68A6" w:rsidRDefault="008D08FC" w:rsidP="00F44DA8">
      <w:pPr>
        <w:spacing w:line="240" w:lineRule="auto"/>
        <w:jc w:val="center"/>
        <w:rPr>
          <w:rFonts w:ascii="Comic Sans MS" w:eastAsia="Comic Sans MS" w:hAnsi="Comic Sans MS" w:cs="Comic Sans MS"/>
          <w:color w:val="333333"/>
          <w:sz w:val="28"/>
          <w:szCs w:val="28"/>
          <w:highlight w:val="white"/>
        </w:rPr>
      </w:pPr>
      <w:r>
        <w:rPr>
          <w:rFonts w:ascii="Comic Sans MS" w:eastAsia="Comic Sans MS" w:hAnsi="Comic Sans MS" w:cs="Comic Sans MS"/>
          <w:color w:val="333333"/>
          <w:sz w:val="28"/>
          <w:szCs w:val="28"/>
          <w:highlight w:val="white"/>
        </w:rPr>
        <w:t>WSCA Sectional</w:t>
      </w:r>
    </w:p>
    <w:p w:rsidR="00AC68A6" w:rsidRDefault="008D08FC" w:rsidP="00F44DA8">
      <w:pPr>
        <w:spacing w:before="280" w:after="160" w:line="240" w:lineRule="auto"/>
        <w:rPr>
          <w:rFonts w:ascii="Comic Sans MS" w:eastAsia="Comic Sans MS" w:hAnsi="Comic Sans MS" w:cs="Comic Sans MS"/>
          <w:b/>
          <w:i/>
          <w:color w:val="212121"/>
          <w:sz w:val="28"/>
          <w:szCs w:val="28"/>
          <w:highlight w:val="white"/>
        </w:rPr>
      </w:pPr>
      <w:r>
        <w:rPr>
          <w:rFonts w:ascii="Comic Sans MS" w:eastAsia="Comic Sans MS" w:hAnsi="Comic Sans MS" w:cs="Comic Sans MS"/>
          <w:b/>
          <w:i/>
          <w:color w:val="212121"/>
          <w:sz w:val="28"/>
          <w:szCs w:val="28"/>
          <w:highlight w:val="white"/>
        </w:rPr>
        <w:t>Data-Data-Data…</w:t>
      </w:r>
    </w:p>
    <w:p w:rsidR="00AC68A6" w:rsidRDefault="008D08FC">
      <w:pPr>
        <w:spacing w:before="280" w:after="160" w:line="240" w:lineRule="auto"/>
        <w:rPr>
          <w:rFonts w:ascii="Comic Sans MS" w:eastAsia="Comic Sans MS" w:hAnsi="Comic Sans MS" w:cs="Comic Sans MS"/>
          <w:i/>
          <w:color w:val="212121"/>
          <w:sz w:val="20"/>
          <w:szCs w:val="20"/>
          <w:highlight w:val="white"/>
        </w:rPr>
      </w:pPr>
      <w:r>
        <w:rPr>
          <w:rFonts w:ascii="Comic Sans MS" w:eastAsia="Comic Sans MS" w:hAnsi="Comic Sans MS" w:cs="Comic Sans MS"/>
          <w:i/>
          <w:color w:val="212121"/>
          <w:sz w:val="20"/>
          <w:szCs w:val="20"/>
          <w:highlight w:val="white"/>
        </w:rPr>
        <w:t xml:space="preserve">The following three definitions of data are taken from </w:t>
      </w:r>
      <w:r>
        <w:rPr>
          <w:rFonts w:ascii="Comic Sans MS" w:eastAsia="Comic Sans MS" w:hAnsi="Comic Sans MS" w:cs="Comic Sans MS"/>
          <w:i/>
          <w:color w:val="212121"/>
          <w:sz w:val="20"/>
          <w:szCs w:val="20"/>
          <w:highlight w:val="white"/>
          <w:u w:val="single"/>
        </w:rPr>
        <w:t>Evidence-Based School Counseling: Making a Difference with Data-Driven Practices</w:t>
      </w:r>
      <w:r>
        <w:rPr>
          <w:rFonts w:ascii="Comic Sans MS" w:eastAsia="Comic Sans MS" w:hAnsi="Comic Sans MS" w:cs="Comic Sans MS"/>
          <w:i/>
          <w:color w:val="212121"/>
          <w:sz w:val="20"/>
          <w:szCs w:val="20"/>
          <w:highlight w:val="white"/>
        </w:rPr>
        <w:t xml:space="preserve"> by Carey Dimmitt, John Carey &amp; Trish Hatch (2007): </w:t>
      </w:r>
    </w:p>
    <w:p w:rsidR="00AC68A6" w:rsidRDefault="008D08FC" w:rsidP="00F44DA8">
      <w:pPr>
        <w:numPr>
          <w:ilvl w:val="0"/>
          <w:numId w:val="2"/>
        </w:numPr>
        <w:spacing w:before="280" w:after="160" w:line="240" w:lineRule="auto"/>
        <w:contextualSpacing/>
        <w:rPr>
          <w:rFonts w:ascii="Comic Sans MS" w:eastAsia="Comic Sans MS" w:hAnsi="Comic Sans MS" w:cs="Comic Sans MS"/>
          <w:color w:val="212121"/>
          <w:sz w:val="20"/>
          <w:szCs w:val="20"/>
          <w:highlight w:val="white"/>
        </w:rPr>
      </w:pPr>
      <w:r>
        <w:rPr>
          <w:rFonts w:ascii="Comic Sans MS" w:eastAsia="Comic Sans MS" w:hAnsi="Comic Sans MS" w:cs="Comic Sans MS"/>
          <w:i/>
          <w:color w:val="212121"/>
          <w:sz w:val="20"/>
          <w:szCs w:val="20"/>
          <w:highlight w:val="white"/>
        </w:rPr>
        <w:t xml:space="preserve">These definitions are also included on the </w:t>
      </w:r>
      <w:r>
        <w:rPr>
          <w:rFonts w:ascii="Comic Sans MS" w:eastAsia="Comic Sans MS" w:hAnsi="Comic Sans MS" w:cs="Comic Sans MS"/>
          <w:i/>
          <w:color w:val="212121"/>
          <w:sz w:val="20"/>
          <w:szCs w:val="20"/>
          <w:highlight w:val="white"/>
          <w:u w:val="single"/>
        </w:rPr>
        <w:t>WSCPAR Rationale-Requirements-Guidelines</w:t>
      </w:r>
      <w:r>
        <w:rPr>
          <w:rFonts w:ascii="Comic Sans MS" w:eastAsia="Comic Sans MS" w:hAnsi="Comic Sans MS" w:cs="Comic Sans MS"/>
          <w:i/>
          <w:color w:val="212121"/>
          <w:sz w:val="20"/>
          <w:szCs w:val="20"/>
          <w:highlight w:val="white"/>
        </w:rPr>
        <w:t xml:space="preserve"> packet (pg. 3)</w:t>
      </w:r>
    </w:p>
    <w:p w:rsidR="00F44DA8" w:rsidRDefault="00F44DA8" w:rsidP="00F44DA8">
      <w:pPr>
        <w:spacing w:line="240" w:lineRule="auto"/>
        <w:rPr>
          <w:rFonts w:ascii="Comic Sans MS" w:eastAsia="Comic Sans MS" w:hAnsi="Comic Sans MS" w:cs="Comic Sans MS"/>
          <w:b/>
          <w:color w:val="212121"/>
          <w:sz w:val="24"/>
          <w:szCs w:val="24"/>
          <w:highlight w:val="white"/>
        </w:rPr>
      </w:pPr>
    </w:p>
    <w:p w:rsidR="00AC68A6" w:rsidRDefault="008D08FC" w:rsidP="00F44DA8">
      <w:pPr>
        <w:spacing w:line="240" w:lineRule="auto"/>
        <w:rPr>
          <w:rFonts w:ascii="Comic Sans MS" w:eastAsia="Comic Sans MS" w:hAnsi="Comic Sans MS" w:cs="Comic Sans MS"/>
          <w:color w:val="212121"/>
          <w:sz w:val="24"/>
          <w:szCs w:val="24"/>
          <w:highlight w:val="white"/>
        </w:rPr>
      </w:pPr>
      <w:r>
        <w:rPr>
          <w:rFonts w:ascii="Comic Sans MS" w:eastAsia="Comic Sans MS" w:hAnsi="Comic Sans MS" w:cs="Comic Sans MS"/>
          <w:b/>
          <w:color w:val="212121"/>
          <w:sz w:val="24"/>
          <w:szCs w:val="24"/>
          <w:highlight w:val="white"/>
        </w:rPr>
        <w:t xml:space="preserve">Process Data </w:t>
      </w:r>
      <w:r>
        <w:rPr>
          <w:rFonts w:ascii="Comic Sans MS" w:eastAsia="Comic Sans MS" w:hAnsi="Comic Sans MS" w:cs="Comic Sans MS"/>
          <w:color w:val="212121"/>
          <w:sz w:val="24"/>
          <w:szCs w:val="24"/>
          <w:highlight w:val="white"/>
        </w:rPr>
        <w:t>- provides evidence that an event occurred. It tells us who received services, activities, or lessons; when they received it; and for how long. Process data give us the who, what, when, where and how often information. (p. 41)</w:t>
      </w:r>
    </w:p>
    <w:p w:rsidR="00F44DA8" w:rsidRDefault="00F44DA8" w:rsidP="00F44DA8">
      <w:pPr>
        <w:spacing w:line="240" w:lineRule="auto"/>
        <w:rPr>
          <w:rFonts w:ascii="Comic Sans MS" w:eastAsia="Comic Sans MS" w:hAnsi="Comic Sans MS" w:cs="Comic Sans MS"/>
          <w:b/>
          <w:color w:val="212121"/>
          <w:sz w:val="24"/>
          <w:szCs w:val="24"/>
          <w:highlight w:val="white"/>
        </w:rPr>
      </w:pPr>
    </w:p>
    <w:p w:rsidR="00AC68A6" w:rsidRDefault="008D08FC" w:rsidP="00F44DA8">
      <w:pPr>
        <w:spacing w:line="240" w:lineRule="auto"/>
        <w:rPr>
          <w:rFonts w:ascii="Comic Sans MS" w:eastAsia="Comic Sans MS" w:hAnsi="Comic Sans MS" w:cs="Comic Sans MS"/>
          <w:color w:val="212121"/>
          <w:sz w:val="24"/>
          <w:szCs w:val="24"/>
          <w:highlight w:val="white"/>
        </w:rPr>
      </w:pPr>
      <w:r>
        <w:rPr>
          <w:rFonts w:ascii="Comic Sans MS" w:eastAsia="Comic Sans MS" w:hAnsi="Comic Sans MS" w:cs="Comic Sans MS"/>
          <w:b/>
          <w:color w:val="212121"/>
          <w:sz w:val="24"/>
          <w:szCs w:val="24"/>
          <w:highlight w:val="white"/>
        </w:rPr>
        <w:t xml:space="preserve">Perception Data </w:t>
      </w:r>
      <w:r>
        <w:rPr>
          <w:rFonts w:ascii="Comic Sans MS" w:eastAsia="Comic Sans MS" w:hAnsi="Comic Sans MS" w:cs="Comic Sans MS"/>
          <w:color w:val="212121"/>
          <w:sz w:val="24"/>
          <w:szCs w:val="24"/>
          <w:highlight w:val="white"/>
        </w:rPr>
        <w:t xml:space="preserve">- tells us what a student learned. Perception data informs us what a student believes, knows, or can demonstrate as a result of a lesson or activity. When school counselors teach a guidance lesson or hold group counseling sessions, they are delivering (or aligning with delivery of) the ASCA National Standards and competencies (Campbell &amp; </w:t>
      </w:r>
      <w:proofErr w:type="spellStart"/>
      <w:r>
        <w:rPr>
          <w:rFonts w:ascii="Comic Sans MS" w:eastAsia="Comic Sans MS" w:hAnsi="Comic Sans MS" w:cs="Comic Sans MS"/>
          <w:color w:val="212121"/>
          <w:sz w:val="24"/>
          <w:szCs w:val="24"/>
          <w:highlight w:val="white"/>
        </w:rPr>
        <w:t>Dahir</w:t>
      </w:r>
      <w:proofErr w:type="spellEnd"/>
      <w:r>
        <w:rPr>
          <w:rFonts w:ascii="Comic Sans MS" w:eastAsia="Comic Sans MS" w:hAnsi="Comic Sans MS" w:cs="Comic Sans MS"/>
          <w:color w:val="212121"/>
          <w:sz w:val="24"/>
          <w:szCs w:val="24"/>
          <w:highlight w:val="white"/>
        </w:rPr>
        <w:t>, 1997). Standards-based education encourages educators to measure knowledge, attitudes, and skills (Darling-</w:t>
      </w:r>
      <w:proofErr w:type="spellStart"/>
      <w:r>
        <w:rPr>
          <w:rFonts w:ascii="Comic Sans MS" w:eastAsia="Comic Sans MS" w:hAnsi="Comic Sans MS" w:cs="Comic Sans MS"/>
          <w:color w:val="212121"/>
          <w:sz w:val="24"/>
          <w:szCs w:val="24"/>
          <w:highlight w:val="white"/>
        </w:rPr>
        <w:t>Hammon</w:t>
      </w:r>
      <w:proofErr w:type="spellEnd"/>
      <w:r>
        <w:rPr>
          <w:rFonts w:ascii="Comic Sans MS" w:eastAsia="Comic Sans MS" w:hAnsi="Comic Sans MS" w:cs="Comic Sans MS"/>
          <w:color w:val="212121"/>
          <w:sz w:val="24"/>
          <w:szCs w:val="24"/>
          <w:highlight w:val="white"/>
        </w:rPr>
        <w:t xml:space="preserve">, 1998). The words attitude, skills, and knowledge form the acronym ASK, which reminds us to assess what students gained or learned from a lesson or activity (Hatch 2005). Perception data measures whether (a) </w:t>
      </w:r>
      <w:proofErr w:type="gramStart"/>
      <w:r>
        <w:rPr>
          <w:rFonts w:ascii="Comic Sans MS" w:eastAsia="Comic Sans MS" w:hAnsi="Comic Sans MS" w:cs="Comic Sans MS"/>
          <w:color w:val="212121"/>
          <w:sz w:val="24"/>
          <w:szCs w:val="24"/>
          <w:highlight w:val="white"/>
        </w:rPr>
        <w:t>students</w:t>
      </w:r>
      <w:proofErr w:type="gramEnd"/>
      <w:r>
        <w:rPr>
          <w:rFonts w:ascii="Comic Sans MS" w:eastAsia="Comic Sans MS" w:hAnsi="Comic Sans MS" w:cs="Comic Sans MS"/>
          <w:color w:val="212121"/>
          <w:sz w:val="24"/>
          <w:szCs w:val="24"/>
          <w:highlight w:val="white"/>
        </w:rPr>
        <w:t xml:space="preserve"> attitudes or beliefs changed or shifted as a result of an activity or intervention, (b) students learned the skill (attained the competency), or (c) students’ knowledge increased. School counselors can collect ASK data about an activity or intervention to determine if it benefited students. (p.41-42) </w:t>
      </w:r>
    </w:p>
    <w:p w:rsidR="00AC68A6" w:rsidRDefault="008D08FC">
      <w:pPr>
        <w:spacing w:before="280" w:after="160"/>
        <w:rPr>
          <w:rFonts w:ascii="Comic Sans MS" w:eastAsia="Comic Sans MS" w:hAnsi="Comic Sans MS" w:cs="Comic Sans MS"/>
          <w:color w:val="212121"/>
          <w:sz w:val="24"/>
          <w:szCs w:val="24"/>
          <w:highlight w:val="white"/>
        </w:rPr>
      </w:pPr>
      <w:r>
        <w:rPr>
          <w:noProof/>
          <w:lang w:val="en-US"/>
        </w:rPr>
        <mc:AlternateContent>
          <mc:Choice Requires="wps">
            <w:drawing>
              <wp:anchor distT="114300" distB="114300" distL="114300" distR="114300" simplePos="0" relativeHeight="251661312" behindDoc="1" locked="0" layoutInCell="1" hidden="0" allowOverlap="1">
                <wp:simplePos x="0" y="0"/>
                <wp:positionH relativeFrom="margin">
                  <wp:posOffset>-14605</wp:posOffset>
                </wp:positionH>
                <wp:positionV relativeFrom="paragraph">
                  <wp:posOffset>1404620</wp:posOffset>
                </wp:positionV>
                <wp:extent cx="1836420" cy="177546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1836420" cy="1775460"/>
                        </a:xfrm>
                        <a:prstGeom prst="rect">
                          <a:avLst/>
                        </a:prstGeom>
                        <a:noFill/>
                        <a:ln>
                          <a:noFill/>
                        </a:ln>
                      </wps:spPr>
                      <wps:txbx>
                        <w:txbxContent>
                          <w:p w:rsidR="00AC68A6" w:rsidRPr="008D08FC" w:rsidRDefault="008D08FC" w:rsidP="008D08FC">
                            <w:pPr>
                              <w:spacing w:before="280" w:after="160" w:line="275" w:lineRule="auto"/>
                              <w:textDirection w:val="btLr"/>
                              <w:rPr>
                                <w:b/>
                                <w:sz w:val="20"/>
                              </w:rPr>
                            </w:pPr>
                            <w:r w:rsidRPr="008D08FC">
                              <w:rPr>
                                <w:rFonts w:ascii="Comic Sans MS" w:eastAsia="Comic Sans MS" w:hAnsi="Comic Sans MS" w:cs="Comic Sans MS"/>
                                <w:b/>
                                <w:i/>
                                <w:color w:val="333333"/>
                                <w:highlight w:val="white"/>
                              </w:rPr>
                              <w:t>Results/Outcome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The "So What"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The Hard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Application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Proof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Not what adults do</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Not number of students seen</w:t>
                            </w:r>
                          </w:p>
                          <w:p w:rsidR="00AC68A6" w:rsidRPr="008D08FC" w:rsidRDefault="008D08FC" w:rsidP="008D08FC">
                            <w:pPr>
                              <w:spacing w:line="275" w:lineRule="auto"/>
                              <w:textDirection w:val="btLr"/>
                              <w:rPr>
                                <w:sz w:val="16"/>
                              </w:rPr>
                            </w:pPr>
                            <w:r w:rsidRPr="008D08FC">
                              <w:rPr>
                                <w:rFonts w:ascii="Comic Sans MS" w:eastAsia="Comic Sans MS" w:hAnsi="Comic Sans MS" w:cs="Comic Sans MS"/>
                                <w:color w:val="333333"/>
                                <w:sz w:val="18"/>
                                <w:highlight w:val="white"/>
                              </w:rPr>
                              <w:t>Not number of conferences</w:t>
                            </w:r>
                          </w:p>
                          <w:p w:rsidR="00AC68A6" w:rsidRPr="008D08FC" w:rsidRDefault="00AC68A6" w:rsidP="008D08FC">
                            <w:pPr>
                              <w:spacing w:line="240" w:lineRule="auto"/>
                              <w:textDirection w:val="btLr"/>
                              <w:rPr>
                                <w:sz w:val="16"/>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110.6pt;width:144.6pt;height:139.8pt;z-index:-25165516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" filled="f" stroked="f">
                <v:textbox inset="2.53958mm,2.53958mm,2.53958mm,2.53958mm">
                  <w:txbxContent>
                    <w:p w:rsidR="00AC68A6" w:rsidRPr="008D08FC" w:rsidRDefault="008D08FC" w:rsidP="008D08FC">
                      <w:pPr>
                        <w:spacing w:before="280" w:after="160" w:line="275" w:lineRule="auto"/>
                        <w:textDirection w:val="btLr"/>
                        <w:rPr>
                          <w:b/>
                          <w:sz w:val="20"/>
                        </w:rPr>
                      </w:pPr>
                      <w:r w:rsidRPr="008D08FC">
                        <w:rPr>
                          <w:rFonts w:ascii="Comic Sans MS" w:eastAsia="Comic Sans MS" w:hAnsi="Comic Sans MS" w:cs="Comic Sans MS"/>
                          <w:b/>
                          <w:i/>
                          <w:color w:val="333333"/>
                          <w:highlight w:val="white"/>
                        </w:rPr>
                        <w:t>Results/Outcome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The "So What"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The Hard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Application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Proof data</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Not what adults do</w:t>
                      </w:r>
                    </w:p>
                    <w:p w:rsidR="00AC68A6" w:rsidRPr="008D08FC" w:rsidRDefault="008D08FC" w:rsidP="008D08FC">
                      <w:pPr>
                        <w:spacing w:line="275" w:lineRule="auto"/>
                        <w:textDirection w:val="btLr"/>
                        <w:rPr>
                          <w:b/>
                          <w:sz w:val="16"/>
                        </w:rPr>
                      </w:pPr>
                      <w:r w:rsidRPr="008D08FC">
                        <w:rPr>
                          <w:rFonts w:ascii="Comic Sans MS" w:eastAsia="Comic Sans MS" w:hAnsi="Comic Sans MS" w:cs="Comic Sans MS"/>
                          <w:b/>
                          <w:color w:val="333333"/>
                          <w:sz w:val="18"/>
                          <w:highlight w:val="white"/>
                        </w:rPr>
                        <w:t>Not number of students seen</w:t>
                      </w:r>
                    </w:p>
                    <w:p w:rsidR="00AC68A6" w:rsidRPr="008D08FC" w:rsidRDefault="008D08FC" w:rsidP="008D08FC">
                      <w:pPr>
                        <w:spacing w:line="275" w:lineRule="auto"/>
                        <w:textDirection w:val="btLr"/>
                        <w:rPr>
                          <w:sz w:val="16"/>
                        </w:rPr>
                      </w:pPr>
                      <w:r w:rsidRPr="008D08FC">
                        <w:rPr>
                          <w:rFonts w:ascii="Comic Sans MS" w:eastAsia="Comic Sans MS" w:hAnsi="Comic Sans MS" w:cs="Comic Sans MS"/>
                          <w:color w:val="333333"/>
                          <w:sz w:val="18"/>
                          <w:highlight w:val="white"/>
                        </w:rPr>
                        <w:t>Not number of conferences</w:t>
                      </w:r>
                    </w:p>
                    <w:p w:rsidR="00AC68A6" w:rsidRPr="008D08FC" w:rsidRDefault="00AC68A6" w:rsidP="008D08FC">
                      <w:pPr>
                        <w:spacing w:line="240" w:lineRule="auto"/>
                        <w:textDirection w:val="btLr"/>
                        <w:rPr>
                          <w:sz w:val="16"/>
                        </w:rPr>
                      </w:pPr>
                    </w:p>
                  </w:txbxContent>
                </v:textbox>
                <w10:wrap type="square" anchorx="margin"/>
              </v:shape>
            </w:pict>
          </mc:Fallback>
        </mc:AlternateContent>
      </w:r>
      <w:r>
        <w:rPr>
          <w:rFonts w:ascii="Comic Sans MS" w:eastAsia="Comic Sans MS" w:hAnsi="Comic Sans MS" w:cs="Comic Sans MS"/>
          <w:b/>
          <w:color w:val="212121"/>
          <w:sz w:val="24"/>
          <w:szCs w:val="24"/>
          <w:highlight w:val="white"/>
        </w:rPr>
        <w:t xml:space="preserve">Outcome Data </w:t>
      </w:r>
      <w:r>
        <w:rPr>
          <w:rFonts w:ascii="Comic Sans MS" w:eastAsia="Comic Sans MS" w:hAnsi="Comic Sans MS" w:cs="Comic Sans MS"/>
          <w:color w:val="212121"/>
          <w:sz w:val="24"/>
          <w:szCs w:val="24"/>
          <w:highlight w:val="white"/>
        </w:rPr>
        <w:t>- is the “hard” data, the application data. Results are the proof that the activity or intervention either has or has not positively influenced the students’ ability to use attitudes, skills, and knowledge to change their behavior. Behavior changes and their results may be measured with two types of data: achievement or achievement-related. (p. 42)</w:t>
      </w:r>
    </w:p>
    <w:tbl>
      <w:tblPr>
        <w:tblStyle w:val="a"/>
        <w:tblpPr w:leftFromText="180" w:rightFromText="180" w:vertAnchor="text" w:horzAnchor="margin" w:tblpXSpec="right" w:tblpY="76"/>
        <w:tblW w:w="8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4"/>
        <w:gridCol w:w="4502"/>
      </w:tblGrid>
      <w:tr w:rsidR="00F44DA8" w:rsidRPr="008D08FC" w:rsidTr="008D08FC">
        <w:trPr>
          <w:trHeight w:val="153"/>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jc w:val="center"/>
              <w:rPr>
                <w:rFonts w:ascii="Comic Sans MS" w:eastAsia="Comic Sans MS" w:hAnsi="Comic Sans MS" w:cs="Comic Sans MS"/>
                <w:b/>
                <w:color w:val="212121"/>
                <w:sz w:val="20"/>
                <w:szCs w:val="24"/>
                <w:highlight w:val="white"/>
              </w:rPr>
            </w:pPr>
            <w:r w:rsidRPr="008D08FC">
              <w:rPr>
                <w:rFonts w:ascii="Comic Sans MS" w:eastAsia="Comic Sans MS" w:hAnsi="Comic Sans MS" w:cs="Comic Sans MS"/>
                <w:b/>
                <w:color w:val="212121"/>
                <w:sz w:val="20"/>
                <w:szCs w:val="24"/>
                <w:highlight w:val="white"/>
              </w:rPr>
              <w:t>Achievement</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jc w:val="center"/>
              <w:rPr>
                <w:rFonts w:ascii="Comic Sans MS" w:eastAsia="Comic Sans MS" w:hAnsi="Comic Sans MS" w:cs="Comic Sans MS"/>
                <w:b/>
                <w:color w:val="212121"/>
                <w:sz w:val="20"/>
                <w:szCs w:val="24"/>
                <w:highlight w:val="white"/>
              </w:rPr>
            </w:pPr>
            <w:r w:rsidRPr="008D08FC">
              <w:rPr>
                <w:rFonts w:ascii="Comic Sans MS" w:eastAsia="Comic Sans MS" w:hAnsi="Comic Sans MS" w:cs="Comic Sans MS"/>
                <w:b/>
                <w:color w:val="212121"/>
                <w:sz w:val="20"/>
                <w:szCs w:val="24"/>
                <w:highlight w:val="white"/>
              </w:rPr>
              <w:t>Achievement-Related</w:t>
            </w:r>
          </w:p>
        </w:tc>
      </w:tr>
      <w:tr w:rsidR="00F44DA8" w:rsidRPr="008D08FC" w:rsidTr="008D08FC">
        <w:trPr>
          <w:trHeight w:val="189"/>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jc w:val="center"/>
              <w:rPr>
                <w:rFonts w:ascii="Comic Sans MS" w:eastAsia="Comic Sans MS" w:hAnsi="Comic Sans MS" w:cs="Comic Sans MS"/>
                <w:i/>
                <w:color w:val="212121"/>
                <w:sz w:val="20"/>
                <w:szCs w:val="24"/>
                <w:highlight w:val="white"/>
              </w:rPr>
            </w:pPr>
            <w:r w:rsidRPr="008D08FC">
              <w:rPr>
                <w:rFonts w:ascii="Comic Sans MS" w:eastAsia="Comic Sans MS" w:hAnsi="Comic Sans MS" w:cs="Comic Sans MS"/>
                <w:i/>
                <w:color w:val="212121"/>
                <w:sz w:val="20"/>
                <w:szCs w:val="24"/>
                <w:highlight w:val="white"/>
              </w:rPr>
              <w:t>The Big Ticket items</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jc w:val="center"/>
              <w:rPr>
                <w:rFonts w:ascii="Comic Sans MS" w:eastAsia="Comic Sans MS" w:hAnsi="Comic Sans MS" w:cs="Comic Sans MS"/>
                <w:i/>
                <w:color w:val="212121"/>
                <w:sz w:val="20"/>
                <w:szCs w:val="24"/>
                <w:highlight w:val="white"/>
              </w:rPr>
            </w:pPr>
            <w:r w:rsidRPr="008D08FC">
              <w:rPr>
                <w:rFonts w:ascii="Comic Sans MS" w:eastAsia="Comic Sans MS" w:hAnsi="Comic Sans MS" w:cs="Comic Sans MS"/>
                <w:i/>
                <w:color w:val="212121"/>
                <w:sz w:val="20"/>
                <w:szCs w:val="24"/>
                <w:highlight w:val="white"/>
              </w:rPr>
              <w:t>Factors impacting achievement</w:t>
            </w:r>
          </w:p>
        </w:tc>
      </w:tr>
      <w:tr w:rsidR="00F44DA8" w:rsidRPr="008D08FC" w:rsidTr="008D08FC">
        <w:trPr>
          <w:trHeight w:val="100"/>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*Standardized test results</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*Discipline referrals &amp; suspensions</w:t>
            </w:r>
          </w:p>
        </w:tc>
      </w:tr>
      <w:tr w:rsidR="00F44DA8" w:rsidRPr="008D08FC" w:rsidTr="008D08FC">
        <w:trPr>
          <w:trHeight w:val="180"/>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*Retention rates</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*Attendance rates</w:t>
            </w:r>
          </w:p>
        </w:tc>
      </w:tr>
      <w:tr w:rsidR="00F44DA8" w:rsidRPr="008D08FC" w:rsidTr="008D08FC">
        <w:trPr>
          <w:trHeight w:val="100"/>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*SAT/ACT scores</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*Course enrollment patterns</w:t>
            </w:r>
          </w:p>
        </w:tc>
      </w:tr>
      <w:tr w:rsidR="00F44DA8" w:rsidRPr="008D08FC" w:rsidTr="008D08FC">
        <w:trPr>
          <w:trHeight w:val="171"/>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*Dropout rates</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*Homework completion rates</w:t>
            </w:r>
          </w:p>
        </w:tc>
      </w:tr>
      <w:tr w:rsidR="00F44DA8" w:rsidRPr="008D08FC" w:rsidTr="008D08FC">
        <w:trPr>
          <w:trHeight w:val="45"/>
        </w:trPr>
        <w:tc>
          <w:tcPr>
            <w:tcW w:w="3504"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*Completion of college prep</w:t>
            </w:r>
          </w:p>
        </w:tc>
        <w:tc>
          <w:tcPr>
            <w:tcW w:w="4502" w:type="dxa"/>
            <w:shd w:val="clear" w:color="auto" w:fill="auto"/>
            <w:tcMar>
              <w:top w:w="100" w:type="dxa"/>
              <w:left w:w="100" w:type="dxa"/>
              <w:bottom w:w="100" w:type="dxa"/>
              <w:right w:w="100" w:type="dxa"/>
            </w:tcMar>
          </w:tcPr>
          <w:p w:rsidR="00F44DA8" w:rsidRPr="008D08FC" w:rsidRDefault="00F44DA8" w:rsidP="00F44DA8">
            <w:pPr>
              <w:widowControl w:val="0"/>
              <w:spacing w:line="240" w:lineRule="auto"/>
              <w:rPr>
                <w:rFonts w:ascii="Comic Sans MS" w:eastAsia="Comic Sans MS" w:hAnsi="Comic Sans MS" w:cs="Comic Sans MS"/>
                <w:color w:val="212121"/>
                <w:sz w:val="20"/>
                <w:szCs w:val="24"/>
                <w:highlight w:val="white"/>
              </w:rPr>
            </w:pPr>
            <w:r w:rsidRPr="008D08FC">
              <w:rPr>
                <w:rFonts w:ascii="Comic Sans MS" w:eastAsia="Comic Sans MS" w:hAnsi="Comic Sans MS" w:cs="Comic Sans MS"/>
                <w:color w:val="212121"/>
                <w:sz w:val="20"/>
                <w:szCs w:val="24"/>
                <w:highlight w:val="white"/>
              </w:rPr>
              <w:t>*Parent involvement</w:t>
            </w:r>
          </w:p>
        </w:tc>
      </w:tr>
    </w:tbl>
    <w:p w:rsidR="008D08FC" w:rsidRDefault="008D08FC">
      <w:pPr>
        <w:rPr>
          <w:rFonts w:ascii="Comic Sans MS" w:eastAsia="Comic Sans MS" w:hAnsi="Comic Sans MS" w:cs="Comic Sans MS"/>
          <w:b/>
          <w:color w:val="333333"/>
          <w:sz w:val="18"/>
          <w:szCs w:val="18"/>
          <w:highlight w:val="white"/>
        </w:rPr>
      </w:pPr>
    </w:p>
    <w:p w:rsidR="008D08FC" w:rsidRDefault="008D08FC">
      <w:pPr>
        <w:rPr>
          <w:rFonts w:ascii="Comic Sans MS" w:eastAsia="Comic Sans MS" w:hAnsi="Comic Sans MS" w:cs="Comic Sans MS"/>
          <w:b/>
          <w:color w:val="333333"/>
          <w:sz w:val="18"/>
          <w:szCs w:val="18"/>
          <w:highlight w:val="white"/>
        </w:rPr>
      </w:pPr>
      <w:r w:rsidRPr="008D08FC">
        <w:rPr>
          <w:rFonts w:ascii="Comic Sans MS" w:eastAsia="Comic Sans MS" w:hAnsi="Comic Sans MS" w:cs="Comic Sans MS"/>
          <w:b/>
          <w:color w:val="333333"/>
          <w:sz w:val="18"/>
          <w:szCs w:val="18"/>
          <w:highlight w:val="white"/>
        </w:rPr>
        <w:t>WSCPAR deadlines &amp; Reminders:</w:t>
      </w:r>
    </w:p>
    <w:p w:rsidR="00AC68A6" w:rsidRPr="008D08FC" w:rsidRDefault="008D08FC">
      <w:pPr>
        <w:rPr>
          <w:rFonts w:ascii="Comic Sans MS" w:eastAsia="Comic Sans MS" w:hAnsi="Comic Sans MS" w:cs="Comic Sans MS"/>
          <w:b/>
          <w:color w:val="333333"/>
          <w:sz w:val="18"/>
          <w:szCs w:val="18"/>
          <w:highlight w:val="white"/>
        </w:rPr>
      </w:pPr>
      <w:r w:rsidRPr="008D08FC">
        <w:rPr>
          <w:rFonts w:ascii="Comic Sans MS" w:eastAsia="Comic Sans MS" w:hAnsi="Comic Sans MS" w:cs="Comic Sans MS"/>
          <w:b/>
          <w:color w:val="333333"/>
          <w:sz w:val="18"/>
          <w:szCs w:val="18"/>
          <w:highlight w:val="white"/>
        </w:rPr>
        <w:t xml:space="preserve">1) Utilize data from previous school year </w:t>
      </w:r>
    </w:p>
    <w:p w:rsidR="00AC68A6" w:rsidRPr="008D08FC" w:rsidRDefault="008D08FC">
      <w:pPr>
        <w:rPr>
          <w:rFonts w:ascii="Comic Sans MS" w:eastAsia="Comic Sans MS" w:hAnsi="Comic Sans MS" w:cs="Comic Sans MS"/>
          <w:b/>
          <w:color w:val="333333"/>
          <w:sz w:val="18"/>
          <w:szCs w:val="18"/>
          <w:highlight w:val="white"/>
        </w:rPr>
      </w:pPr>
      <w:r w:rsidRPr="008D08FC">
        <w:rPr>
          <w:rFonts w:ascii="Comic Sans MS" w:eastAsia="Comic Sans MS" w:hAnsi="Comic Sans MS" w:cs="Comic Sans MS"/>
          <w:b/>
          <w:color w:val="333333"/>
          <w:sz w:val="18"/>
          <w:szCs w:val="18"/>
          <w:highlight w:val="white"/>
        </w:rPr>
        <w:t>2) Deadline for submission - mid Oct. (check the WSCA website)</w:t>
      </w:r>
    </w:p>
    <w:p w:rsidR="00AC68A6" w:rsidRPr="008D08FC" w:rsidRDefault="008D08FC">
      <w:pPr>
        <w:rPr>
          <w:rFonts w:ascii="Comic Sans MS" w:eastAsia="Comic Sans MS" w:hAnsi="Comic Sans MS" w:cs="Comic Sans MS"/>
          <w:b/>
          <w:color w:val="333333"/>
          <w:sz w:val="18"/>
          <w:szCs w:val="18"/>
          <w:highlight w:val="white"/>
        </w:rPr>
      </w:pPr>
      <w:r w:rsidRPr="008D08FC">
        <w:rPr>
          <w:rFonts w:ascii="Comic Sans MS" w:eastAsia="Comic Sans MS" w:hAnsi="Comic Sans MS" w:cs="Comic Sans MS"/>
          <w:b/>
          <w:color w:val="333333"/>
          <w:sz w:val="18"/>
          <w:szCs w:val="18"/>
          <w:highlight w:val="white"/>
        </w:rPr>
        <w:t>3) Connect ASCA Mindsets &amp; Behaviors with academic, career, and social-emotional domains</w:t>
      </w:r>
    </w:p>
    <w:p w:rsidR="00AC68A6" w:rsidRDefault="008D08FC">
      <w:pPr>
        <w:rPr>
          <w:rFonts w:ascii="Comic Sans MS" w:eastAsia="Comic Sans MS" w:hAnsi="Comic Sans MS" w:cs="Comic Sans MS"/>
          <w:b/>
          <w:color w:val="454545"/>
          <w:sz w:val="23"/>
          <w:szCs w:val="23"/>
          <w:highlight w:val="white"/>
        </w:rPr>
      </w:pPr>
      <w:r>
        <w:rPr>
          <w:rFonts w:ascii="Comic Sans MS" w:eastAsia="Comic Sans MS" w:hAnsi="Comic Sans MS" w:cs="Comic Sans MS"/>
          <w:b/>
          <w:color w:val="454545"/>
          <w:sz w:val="23"/>
          <w:szCs w:val="23"/>
          <w:highlight w:val="white"/>
        </w:rPr>
        <w:lastRenderedPageBreak/>
        <w:t>Helpful Links/Resources</w:t>
      </w:r>
    </w:p>
    <w:p w:rsidR="00AC68A6" w:rsidRPr="008D08FC" w:rsidRDefault="00AC68A6">
      <w:pPr>
        <w:rPr>
          <w:rFonts w:ascii="Comic Sans MS" w:eastAsia="Comic Sans MS" w:hAnsi="Comic Sans MS" w:cs="Comic Sans MS"/>
          <w:b/>
          <w:color w:val="454545"/>
          <w:sz w:val="16"/>
          <w:szCs w:val="16"/>
          <w:highlight w:val="white"/>
        </w:rPr>
      </w:pPr>
    </w:p>
    <w:p w:rsidR="00AC68A6" w:rsidRDefault="008D08FC">
      <w:pPr>
        <w:spacing w:line="240" w:lineRule="auto"/>
        <w:rPr>
          <w:rFonts w:ascii="Comic Sans MS" w:eastAsia="Comic Sans MS" w:hAnsi="Comic Sans MS" w:cs="Comic Sans MS"/>
          <w:b/>
          <w:color w:val="454545"/>
          <w:sz w:val="23"/>
          <w:szCs w:val="23"/>
          <w:highlight w:val="white"/>
        </w:rPr>
      </w:pPr>
      <w:r>
        <w:rPr>
          <w:rFonts w:ascii="Comic Sans MS" w:eastAsia="Comic Sans MS" w:hAnsi="Comic Sans MS" w:cs="Comic Sans MS"/>
          <w:b/>
          <w:color w:val="454545"/>
          <w:sz w:val="23"/>
          <w:szCs w:val="23"/>
          <w:highlight w:val="white"/>
        </w:rPr>
        <w:t>WSCPAR resource page on the WSCA website:</w:t>
      </w:r>
    </w:p>
    <w:p w:rsidR="00AC68A6" w:rsidRDefault="008D08FC">
      <w:pPr>
        <w:spacing w:line="240" w:lineRule="auto"/>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 </w:t>
      </w:r>
      <w:hyperlink r:id="rId5">
        <w:r>
          <w:rPr>
            <w:rFonts w:ascii="Comic Sans MS" w:eastAsia="Comic Sans MS" w:hAnsi="Comic Sans MS" w:cs="Comic Sans MS"/>
            <w:color w:val="1155CC"/>
            <w:sz w:val="23"/>
            <w:szCs w:val="23"/>
            <w:highlight w:val="white"/>
            <w:u w:val="single"/>
          </w:rPr>
          <w:t>http://www.wscaweb.org/WSCPAR</w:t>
        </w:r>
      </w:hyperlink>
    </w:p>
    <w:p w:rsidR="00AC68A6" w:rsidRDefault="00AC68A6">
      <w:pPr>
        <w:spacing w:line="240" w:lineRule="auto"/>
        <w:rPr>
          <w:rFonts w:ascii="Comic Sans MS" w:eastAsia="Comic Sans MS" w:hAnsi="Comic Sans MS" w:cs="Comic Sans MS"/>
          <w:color w:val="454545"/>
          <w:sz w:val="23"/>
          <w:szCs w:val="23"/>
          <w:highlight w:val="white"/>
        </w:rPr>
      </w:pPr>
    </w:p>
    <w:p w:rsidR="00AC68A6" w:rsidRDefault="008D08FC">
      <w:pPr>
        <w:numPr>
          <w:ilvl w:val="0"/>
          <w:numId w:val="5"/>
        </w:numPr>
        <w:spacing w:line="240" w:lineRule="auto"/>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Stroll down and find “WSCPAR Rationale-Requirements-Guidelines” for helpful step by step directions on how to plan, prepare, and create a successful WSCPAR</w:t>
      </w:r>
    </w:p>
    <w:p w:rsidR="00F44DA8" w:rsidRDefault="00F44DA8" w:rsidP="00F44DA8">
      <w:pPr>
        <w:pStyle w:val="NormalWeb"/>
        <w:spacing w:before="280" w:beforeAutospacing="0" w:after="160" w:afterAutospacing="0"/>
      </w:pPr>
      <w:r>
        <w:rPr>
          <w:rFonts w:ascii="Comic Sans MS" w:hAnsi="Comic Sans MS"/>
          <w:b/>
          <w:bCs/>
          <w:color w:val="454545"/>
          <w:sz w:val="23"/>
          <w:szCs w:val="23"/>
          <w:shd w:val="clear" w:color="auto" w:fill="FFFFFF"/>
        </w:rPr>
        <w:t>Resource link to the ASCA Mindsets &amp; Behaviors for Student Success: (</w:t>
      </w:r>
      <w:r>
        <w:rPr>
          <w:rFonts w:ascii="Comic Sans MS" w:hAnsi="Comic Sans MS"/>
          <w:i/>
          <w:iCs/>
          <w:color w:val="454545"/>
          <w:sz w:val="23"/>
          <w:szCs w:val="23"/>
          <w:shd w:val="clear" w:color="auto" w:fill="FFFFFF"/>
        </w:rPr>
        <w:t>needed for the Student Results section):  </w:t>
      </w:r>
      <w:hyperlink r:id="rId6" w:history="1">
        <w:r>
          <w:rPr>
            <w:rStyle w:val="Hyperlink"/>
            <w:rFonts w:ascii="Comic Sans MS" w:hAnsi="Comic Sans MS"/>
            <w:color w:val="1155CC"/>
            <w:sz w:val="23"/>
            <w:szCs w:val="23"/>
            <w:shd w:val="clear" w:color="auto" w:fill="FFFFFF"/>
          </w:rPr>
          <w:t>http://www.schoolcounselor.org/asca/media/asca/home/MindsetsBehaviors.pdf</w:t>
        </w:r>
      </w:hyperlink>
    </w:p>
    <w:p w:rsidR="00AC68A6" w:rsidRDefault="008D08FC">
      <w:pPr>
        <w:spacing w:before="280" w:after="160" w:line="240" w:lineRule="auto"/>
        <w:rPr>
          <w:rFonts w:ascii="Comic Sans MS" w:eastAsia="Comic Sans MS" w:hAnsi="Comic Sans MS" w:cs="Comic Sans MS"/>
          <w:b/>
          <w:color w:val="454545"/>
          <w:sz w:val="23"/>
          <w:szCs w:val="23"/>
          <w:highlight w:val="white"/>
          <w:u w:val="single"/>
        </w:rPr>
      </w:pPr>
      <w:r>
        <w:rPr>
          <w:rFonts w:ascii="Comic Sans MS" w:eastAsia="Comic Sans MS" w:hAnsi="Comic Sans MS" w:cs="Comic Sans MS"/>
          <w:b/>
          <w:color w:val="454545"/>
          <w:sz w:val="23"/>
          <w:szCs w:val="23"/>
          <w:highlight w:val="white"/>
          <w:u w:val="single"/>
        </w:rPr>
        <w:t>Step by Step Tips for WSCPAR Beginners:</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1. Go to WSCA website (</w:t>
      </w:r>
      <w:hyperlink r:id="rId7">
        <w:r>
          <w:rPr>
            <w:rFonts w:ascii="Comic Sans MS" w:eastAsia="Comic Sans MS" w:hAnsi="Comic Sans MS" w:cs="Comic Sans MS"/>
            <w:color w:val="1155CC"/>
            <w:sz w:val="23"/>
            <w:szCs w:val="23"/>
            <w:highlight w:val="white"/>
            <w:u w:val="single"/>
          </w:rPr>
          <w:t>www.wscaweb.org</w:t>
        </w:r>
      </w:hyperlink>
      <w:r>
        <w:rPr>
          <w:rFonts w:ascii="Comic Sans MS" w:eastAsia="Comic Sans MS" w:hAnsi="Comic Sans MS" w:cs="Comic Sans MS"/>
          <w:color w:val="454545"/>
          <w:sz w:val="23"/>
          <w:szCs w:val="23"/>
          <w:highlight w:val="white"/>
        </w:rPr>
        <w:t>)</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2. Click the WSCPAR link under the "Awards and Scholarships" tab at the top of page</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3. Print out WSCPAR Rationale-Requirements-Guidelines - walk through this document step by step</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4. Complete the document/header first (check off each bullet point ensuring you have all required parts)</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5. Communicate with your principal on the programs/efforts you are doing/putting in place throughout </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    the year - but save the “Principal’s Comments” section for last</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6. Brainstorm programs, groups, lessons, etc. you have implemented &amp; delivered (or plan to deliver) to   </w:t>
      </w:r>
    </w:p>
    <w:p w:rsidR="00AC68A6" w:rsidRDefault="008D08FC">
      <w:pPr>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    meet </w:t>
      </w:r>
      <w:proofErr w:type="spellStart"/>
      <w:r>
        <w:rPr>
          <w:rFonts w:ascii="Comic Sans MS" w:eastAsia="Comic Sans MS" w:hAnsi="Comic Sans MS" w:cs="Comic Sans MS"/>
          <w:color w:val="454545"/>
          <w:sz w:val="23"/>
          <w:szCs w:val="23"/>
          <w:highlight w:val="white"/>
        </w:rPr>
        <w:t>students</w:t>
      </w:r>
      <w:proofErr w:type="spellEnd"/>
      <w:r>
        <w:rPr>
          <w:rFonts w:ascii="Comic Sans MS" w:eastAsia="Comic Sans MS" w:hAnsi="Comic Sans MS" w:cs="Comic Sans MS"/>
          <w:color w:val="454545"/>
          <w:sz w:val="23"/>
          <w:szCs w:val="23"/>
          <w:highlight w:val="white"/>
        </w:rPr>
        <w:t xml:space="preserve"> needs during the school year.  Write these examples down to help you plan.</w:t>
      </w:r>
    </w:p>
    <w:p w:rsidR="00AC68A6" w:rsidRDefault="008D08FC">
      <w:pPr>
        <w:ind w:firstLine="720"/>
        <w:rPr>
          <w:rFonts w:ascii="Comic Sans MS" w:eastAsia="Comic Sans MS" w:hAnsi="Comic Sans MS" w:cs="Comic Sans MS"/>
          <w:i/>
          <w:color w:val="454545"/>
          <w:sz w:val="23"/>
          <w:szCs w:val="23"/>
          <w:highlight w:val="white"/>
        </w:rPr>
      </w:pPr>
      <w:r>
        <w:rPr>
          <w:rFonts w:ascii="Comic Sans MS" w:eastAsia="Comic Sans MS" w:hAnsi="Comic Sans MS" w:cs="Comic Sans MS"/>
          <w:i/>
          <w:color w:val="454545"/>
          <w:sz w:val="23"/>
          <w:szCs w:val="23"/>
          <w:highlight w:val="white"/>
        </w:rPr>
        <w:t>Examples:</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Small Groups and/or SAIG</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Peer Helper Program</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Peer Mediation</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Mentoring Program </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CICO</w:t>
      </w:r>
    </w:p>
    <w:p w:rsidR="00AC68A6" w:rsidRDefault="008D08FC" w:rsidP="008D08FC">
      <w:pPr>
        <w:numPr>
          <w:ilvl w:val="0"/>
          <w:numId w:val="11"/>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Specific lesson/curriculum delivered to students</w:t>
      </w:r>
    </w:p>
    <w:p w:rsidR="00AC68A6" w:rsidRDefault="00AC68A6">
      <w:pPr>
        <w:spacing w:line="240" w:lineRule="auto"/>
        <w:rPr>
          <w:rFonts w:ascii="Comic Sans MS" w:eastAsia="Comic Sans MS" w:hAnsi="Comic Sans MS" w:cs="Comic Sans MS"/>
          <w:color w:val="454545"/>
          <w:highlight w:val="white"/>
        </w:rPr>
      </w:pPr>
    </w:p>
    <w:p w:rsidR="00AC68A6" w:rsidRDefault="008D08FC">
      <w:pPr>
        <w:spacing w:line="240" w:lineRule="auto"/>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7. Brainstorm methods of data collection you can develop and deliver, as well as data collected and </w:t>
      </w:r>
    </w:p>
    <w:p w:rsidR="00AC68A6" w:rsidRDefault="008D08FC">
      <w:pPr>
        <w:spacing w:line="240" w:lineRule="auto"/>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 xml:space="preserve">    accessible to you in your school.  Write these examples down.</w:t>
      </w:r>
    </w:p>
    <w:p w:rsidR="00AC68A6" w:rsidRDefault="00AC68A6">
      <w:pPr>
        <w:spacing w:line="240" w:lineRule="auto"/>
        <w:rPr>
          <w:rFonts w:ascii="Comic Sans MS" w:eastAsia="Comic Sans MS" w:hAnsi="Comic Sans MS" w:cs="Comic Sans MS"/>
          <w:color w:val="454545"/>
          <w:sz w:val="23"/>
          <w:szCs w:val="23"/>
          <w:highlight w:val="white"/>
        </w:rPr>
      </w:pPr>
    </w:p>
    <w:p w:rsidR="00AC68A6" w:rsidRDefault="008D08FC">
      <w:pPr>
        <w:spacing w:line="240" w:lineRule="auto"/>
        <w:rPr>
          <w:rFonts w:ascii="Comic Sans MS" w:eastAsia="Comic Sans MS" w:hAnsi="Comic Sans MS" w:cs="Comic Sans MS"/>
          <w:i/>
          <w:color w:val="454545"/>
          <w:sz w:val="23"/>
          <w:szCs w:val="23"/>
          <w:highlight w:val="white"/>
        </w:rPr>
      </w:pPr>
      <w:r>
        <w:rPr>
          <w:rFonts w:ascii="Comic Sans MS" w:eastAsia="Comic Sans MS" w:hAnsi="Comic Sans MS" w:cs="Comic Sans MS"/>
          <w:i/>
          <w:color w:val="454545"/>
          <w:sz w:val="23"/>
          <w:szCs w:val="23"/>
          <w:highlight w:val="white"/>
        </w:rPr>
        <w:t>Examples:</w:t>
      </w:r>
    </w:p>
    <w:p w:rsidR="00AC68A6" w:rsidRDefault="008D08FC">
      <w:pPr>
        <w:spacing w:line="240" w:lineRule="auto"/>
        <w:rPr>
          <w:rFonts w:ascii="Comic Sans MS" w:eastAsia="Comic Sans MS" w:hAnsi="Comic Sans MS" w:cs="Comic Sans MS"/>
          <w:i/>
          <w:color w:val="454545"/>
          <w:highlight w:val="white"/>
        </w:rPr>
      </w:pPr>
      <w:r>
        <w:rPr>
          <w:rFonts w:ascii="Comic Sans MS" w:eastAsia="Comic Sans MS" w:hAnsi="Comic Sans MS" w:cs="Comic Sans MS"/>
          <w:b/>
          <w:color w:val="454545"/>
          <w:sz w:val="23"/>
          <w:szCs w:val="23"/>
          <w:highlight w:val="white"/>
        </w:rPr>
        <w:t xml:space="preserve">Perception Data </w:t>
      </w:r>
      <w:r>
        <w:rPr>
          <w:rFonts w:ascii="Comic Sans MS" w:eastAsia="Comic Sans MS" w:hAnsi="Comic Sans MS" w:cs="Comic Sans MS"/>
          <w:i/>
          <w:color w:val="454545"/>
          <w:highlight w:val="white"/>
        </w:rPr>
        <w:t>(attitude, skills, and knowledge gained/learned from our students from a lesson, unit, group, or activity we implemented)</w:t>
      </w:r>
    </w:p>
    <w:p w:rsidR="00AC68A6" w:rsidRDefault="008D08FC">
      <w:pPr>
        <w:numPr>
          <w:ilvl w:val="0"/>
          <w:numId w:val="6"/>
        </w:numPr>
        <w:spacing w:before="28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School-wide climate survey (given in Fall and in Spring)</w:t>
      </w:r>
    </w:p>
    <w:p w:rsidR="00AC68A6" w:rsidRDefault="008D08FC">
      <w:pPr>
        <w:numPr>
          <w:ilvl w:val="0"/>
          <w:numId w:val="6"/>
        </w:numPr>
        <w:spacing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Pre-Post Test/Surveys (small groups, delivering lessons, etc.)</w:t>
      </w:r>
    </w:p>
    <w:p w:rsidR="00AC68A6" w:rsidRDefault="008D08FC">
      <w:pPr>
        <w:spacing w:before="280" w:after="160" w:line="240" w:lineRule="auto"/>
        <w:rPr>
          <w:rFonts w:ascii="Comic Sans MS" w:eastAsia="Comic Sans MS" w:hAnsi="Comic Sans MS" w:cs="Comic Sans MS"/>
          <w:i/>
          <w:color w:val="454545"/>
          <w:highlight w:val="white"/>
          <w:u w:val="single"/>
        </w:rPr>
      </w:pPr>
      <w:r>
        <w:rPr>
          <w:rFonts w:ascii="Comic Sans MS" w:eastAsia="Comic Sans MS" w:hAnsi="Comic Sans MS" w:cs="Comic Sans MS"/>
          <w:b/>
          <w:color w:val="454545"/>
          <w:sz w:val="23"/>
          <w:szCs w:val="23"/>
          <w:highlight w:val="white"/>
        </w:rPr>
        <w:t>Outcome Data</w:t>
      </w:r>
      <w:r>
        <w:rPr>
          <w:rFonts w:ascii="Comic Sans MS" w:eastAsia="Comic Sans MS" w:hAnsi="Comic Sans MS" w:cs="Comic Sans MS"/>
          <w:color w:val="454545"/>
          <w:sz w:val="23"/>
          <w:szCs w:val="23"/>
          <w:highlight w:val="white"/>
        </w:rPr>
        <w:t xml:space="preserve"> </w:t>
      </w:r>
      <w:r>
        <w:rPr>
          <w:rFonts w:ascii="Comic Sans MS" w:eastAsia="Comic Sans MS" w:hAnsi="Comic Sans MS" w:cs="Comic Sans MS"/>
          <w:i/>
          <w:color w:val="454545"/>
          <w:sz w:val="23"/>
          <w:szCs w:val="23"/>
          <w:highlight w:val="white"/>
        </w:rPr>
        <w:t>(</w:t>
      </w:r>
      <w:r>
        <w:rPr>
          <w:rFonts w:ascii="Comic Sans MS" w:eastAsia="Comic Sans MS" w:hAnsi="Comic Sans MS" w:cs="Comic Sans MS"/>
          <w:i/>
          <w:color w:val="454545"/>
          <w:highlight w:val="white"/>
        </w:rPr>
        <w:t xml:space="preserve">students’ ability to use attitudes, skills, and knowledge gained to </w:t>
      </w:r>
      <w:r>
        <w:rPr>
          <w:rFonts w:ascii="Comic Sans MS" w:eastAsia="Comic Sans MS" w:hAnsi="Comic Sans MS" w:cs="Comic Sans MS"/>
          <w:i/>
          <w:color w:val="454545"/>
          <w:highlight w:val="white"/>
          <w:u w:val="single"/>
        </w:rPr>
        <w:t>change their behavior - PROOF OF BEHAVIOR CHANGE)</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Office Discipline Referrals</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Suspensions</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Attendance Reports</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CICO progress</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Homework completion rates</w:t>
      </w:r>
    </w:p>
    <w:p w:rsidR="00AC68A6" w:rsidRDefault="008D08FC">
      <w:pPr>
        <w:numPr>
          <w:ilvl w:val="0"/>
          <w:numId w:val="9"/>
        </w:numPr>
        <w:spacing w:before="280"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sz w:val="23"/>
          <w:szCs w:val="23"/>
          <w:highlight w:val="white"/>
        </w:rPr>
        <w:t>Standardized tests</w:t>
      </w:r>
    </w:p>
    <w:p w:rsidR="00AC68A6" w:rsidRDefault="008D08FC">
      <w:p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sz w:val="23"/>
          <w:szCs w:val="23"/>
          <w:highlight w:val="white"/>
        </w:rPr>
        <w:lastRenderedPageBreak/>
        <w:t xml:space="preserve">8.  TIME TO MATCH UP YOUR EFFORTS </w:t>
      </w:r>
      <w:r>
        <w:rPr>
          <w:rFonts w:ascii="Comic Sans MS" w:eastAsia="Comic Sans MS" w:hAnsi="Comic Sans MS" w:cs="Comic Sans MS"/>
          <w:i/>
          <w:color w:val="454545"/>
          <w:sz w:val="20"/>
          <w:szCs w:val="20"/>
          <w:highlight w:val="white"/>
        </w:rPr>
        <w:t xml:space="preserve">(activities, program, lessons, groups) </w:t>
      </w:r>
      <w:r>
        <w:rPr>
          <w:rFonts w:ascii="Comic Sans MS" w:eastAsia="Comic Sans MS" w:hAnsi="Comic Sans MS" w:cs="Comic Sans MS"/>
          <w:color w:val="454545"/>
          <w:highlight w:val="white"/>
        </w:rPr>
        <w:t xml:space="preserve">WITH THE RIGHT DATA </w:t>
      </w:r>
    </w:p>
    <w:p w:rsidR="00AC68A6" w:rsidRDefault="008D08FC">
      <w:p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      COLLECTION METHOD: </w:t>
      </w:r>
    </w:p>
    <w:p w:rsidR="00AC68A6" w:rsidRDefault="008D08FC">
      <w:pPr>
        <w:spacing w:before="280" w:after="160" w:line="240" w:lineRule="auto"/>
        <w:rPr>
          <w:rFonts w:ascii="Comic Sans MS" w:eastAsia="Comic Sans MS" w:hAnsi="Comic Sans MS" w:cs="Comic Sans MS"/>
          <w:i/>
          <w:color w:val="454545"/>
          <w:highlight w:val="white"/>
        </w:rPr>
      </w:pPr>
      <w:r>
        <w:rPr>
          <w:rFonts w:ascii="Comic Sans MS" w:eastAsia="Comic Sans MS" w:hAnsi="Comic Sans MS" w:cs="Comic Sans MS"/>
          <w:i/>
          <w:color w:val="454545"/>
          <w:sz w:val="23"/>
          <w:szCs w:val="23"/>
          <w:highlight w:val="white"/>
        </w:rPr>
        <w:t xml:space="preserve">School climate section (2 examples) and student results section (academic, social/emotional, career - 3 total examples, 1 for each domain) </w:t>
      </w:r>
    </w:p>
    <w:p w:rsidR="00AC68A6" w:rsidRDefault="008D08FC">
      <w:pPr>
        <w:spacing w:before="280" w:after="160" w:line="240" w:lineRule="auto"/>
        <w:rPr>
          <w:rFonts w:ascii="Comic Sans MS" w:eastAsia="Comic Sans MS" w:hAnsi="Comic Sans MS" w:cs="Comic Sans MS"/>
          <w:i/>
          <w:color w:val="454545"/>
          <w:highlight w:val="white"/>
        </w:rPr>
      </w:pPr>
      <w:r>
        <w:rPr>
          <w:rFonts w:ascii="Comic Sans MS" w:eastAsia="Comic Sans MS" w:hAnsi="Comic Sans MS" w:cs="Comic Sans MS"/>
          <w:i/>
          <w:color w:val="454545"/>
          <w:highlight w:val="white"/>
        </w:rPr>
        <w:t>Example Outline:</w:t>
      </w:r>
    </w:p>
    <w:p w:rsidR="00AC68A6" w:rsidRDefault="008D08FC">
      <w:p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b/>
          <w:color w:val="454545"/>
          <w:highlight w:val="white"/>
        </w:rPr>
        <w:t>School Climate &amp; Safety:</w:t>
      </w:r>
      <w:r>
        <w:rPr>
          <w:rFonts w:ascii="Comic Sans MS" w:eastAsia="Comic Sans MS" w:hAnsi="Comic Sans MS" w:cs="Comic Sans MS"/>
          <w:color w:val="454545"/>
          <w:highlight w:val="white"/>
        </w:rPr>
        <w:t xml:space="preserve"> Started up a Peer Helper Program</w:t>
      </w:r>
    </w:p>
    <w:p w:rsidR="00AC68A6" w:rsidRDefault="008D08FC">
      <w:pPr>
        <w:numPr>
          <w:ilvl w:val="0"/>
          <w:numId w:val="10"/>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School Climate survey (compare results from Fall to Spring) </w:t>
      </w:r>
      <w:r>
        <w:rPr>
          <w:rFonts w:ascii="Comic Sans MS" w:eastAsia="Comic Sans MS" w:hAnsi="Comic Sans MS" w:cs="Comic Sans MS"/>
          <w:i/>
          <w:color w:val="454545"/>
          <w:highlight w:val="white"/>
        </w:rPr>
        <w:t>- perception</w:t>
      </w:r>
    </w:p>
    <w:p w:rsidR="00AC68A6" w:rsidRDefault="008D08FC">
      <w:pPr>
        <w:numPr>
          <w:ilvl w:val="0"/>
          <w:numId w:val="10"/>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ODRs (decrease in 1st grade </w:t>
      </w:r>
      <w:proofErr w:type="spellStart"/>
      <w:r>
        <w:rPr>
          <w:rFonts w:ascii="Comic Sans MS" w:eastAsia="Comic Sans MS" w:hAnsi="Comic Sans MS" w:cs="Comic Sans MS"/>
          <w:color w:val="454545"/>
          <w:highlight w:val="white"/>
        </w:rPr>
        <w:t>Odrs</w:t>
      </w:r>
      <w:proofErr w:type="spellEnd"/>
      <w:r>
        <w:rPr>
          <w:rFonts w:ascii="Comic Sans MS" w:eastAsia="Comic Sans MS" w:hAnsi="Comic Sans MS" w:cs="Comic Sans MS"/>
          <w:color w:val="454545"/>
          <w:highlight w:val="white"/>
        </w:rPr>
        <w:t xml:space="preserve"> from previous year to current year) </w:t>
      </w:r>
      <w:r>
        <w:rPr>
          <w:rFonts w:ascii="Comic Sans MS" w:eastAsia="Comic Sans MS" w:hAnsi="Comic Sans MS" w:cs="Comic Sans MS"/>
          <w:i/>
          <w:color w:val="454545"/>
          <w:highlight w:val="white"/>
        </w:rPr>
        <w:t>-outcome</w:t>
      </w:r>
    </w:p>
    <w:p w:rsidR="00AC68A6" w:rsidRDefault="00AC68A6">
      <w:pPr>
        <w:spacing w:line="240" w:lineRule="auto"/>
        <w:rPr>
          <w:rFonts w:ascii="Comic Sans MS" w:eastAsia="Comic Sans MS" w:hAnsi="Comic Sans MS" w:cs="Comic Sans MS"/>
          <w:color w:val="454545"/>
          <w:highlight w:val="white"/>
        </w:rPr>
      </w:pPr>
    </w:p>
    <w:p w:rsidR="00AC68A6" w:rsidRDefault="008D08FC">
      <w:p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b/>
          <w:color w:val="454545"/>
          <w:highlight w:val="white"/>
        </w:rPr>
        <w:t xml:space="preserve">School Climate &amp; Safety: </w:t>
      </w:r>
      <w:r>
        <w:rPr>
          <w:rFonts w:ascii="Comic Sans MS" w:eastAsia="Comic Sans MS" w:hAnsi="Comic Sans MS" w:cs="Comic Sans MS"/>
          <w:color w:val="454545"/>
          <w:highlight w:val="white"/>
        </w:rPr>
        <w:t>Social Skills/Self-Regulation Group (targeted group of students)</w:t>
      </w:r>
    </w:p>
    <w:p w:rsidR="00AC68A6" w:rsidRDefault="008D08FC">
      <w:pPr>
        <w:numPr>
          <w:ilvl w:val="0"/>
          <w:numId w:val="7"/>
        </w:num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ODRs (the desired outcome is a decrease in these specific student’s ODR’s) </w:t>
      </w:r>
      <w:r>
        <w:rPr>
          <w:rFonts w:ascii="Comic Sans MS" w:eastAsia="Comic Sans MS" w:hAnsi="Comic Sans MS" w:cs="Comic Sans MS"/>
          <w:i/>
          <w:color w:val="454545"/>
          <w:highlight w:val="white"/>
        </w:rPr>
        <w:t>-outcome</w:t>
      </w:r>
    </w:p>
    <w:p w:rsidR="00AC68A6" w:rsidRDefault="008D08FC">
      <w:p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b/>
          <w:color w:val="454545"/>
          <w:highlight w:val="white"/>
        </w:rPr>
        <w:t>Academic Domain:</w:t>
      </w:r>
      <w:r>
        <w:rPr>
          <w:rFonts w:ascii="Comic Sans MS" w:eastAsia="Comic Sans MS" w:hAnsi="Comic Sans MS" w:cs="Comic Sans MS"/>
          <w:color w:val="454545"/>
          <w:highlight w:val="white"/>
        </w:rPr>
        <w:t xml:space="preserve"> Organization and Study Skills Group (targeted group of students)</w:t>
      </w:r>
    </w:p>
    <w:p w:rsidR="00AC68A6" w:rsidRDefault="008D08FC">
      <w:pPr>
        <w:numPr>
          <w:ilvl w:val="0"/>
          <w:numId w:val="4"/>
        </w:num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Homework completion (time-frame ex: pre-group/post-group; Q1 to Q2) </w:t>
      </w:r>
      <w:r>
        <w:rPr>
          <w:rFonts w:ascii="Comic Sans MS" w:eastAsia="Comic Sans MS" w:hAnsi="Comic Sans MS" w:cs="Comic Sans MS"/>
          <w:i/>
          <w:color w:val="454545"/>
          <w:highlight w:val="white"/>
        </w:rPr>
        <w:t>-outcome</w:t>
      </w:r>
    </w:p>
    <w:p w:rsidR="00AC68A6" w:rsidRDefault="008D08FC">
      <w:p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b/>
          <w:color w:val="454545"/>
          <w:highlight w:val="white"/>
        </w:rPr>
        <w:t xml:space="preserve">Social/Emotional Domain: </w:t>
      </w:r>
      <w:r>
        <w:rPr>
          <w:rFonts w:ascii="Comic Sans MS" w:eastAsia="Comic Sans MS" w:hAnsi="Comic Sans MS" w:cs="Comic Sans MS"/>
          <w:color w:val="454545"/>
          <w:highlight w:val="white"/>
        </w:rPr>
        <w:t>Self-Regulation Curriculum delivered to a targeted grade level</w:t>
      </w:r>
    </w:p>
    <w:p w:rsidR="00AC68A6" w:rsidRDefault="008D08FC">
      <w:pPr>
        <w:numPr>
          <w:ilvl w:val="0"/>
          <w:numId w:val="8"/>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Pre-post test/surveys (desired outcome - increase in student knowledge &amp; skills) </w:t>
      </w:r>
      <w:r>
        <w:rPr>
          <w:rFonts w:ascii="Comic Sans MS" w:eastAsia="Comic Sans MS" w:hAnsi="Comic Sans MS" w:cs="Comic Sans MS"/>
          <w:i/>
          <w:color w:val="454545"/>
          <w:highlight w:val="white"/>
        </w:rPr>
        <w:t>-perception</w:t>
      </w:r>
    </w:p>
    <w:p w:rsidR="00AC68A6" w:rsidRDefault="008D08FC">
      <w:pPr>
        <w:numPr>
          <w:ilvl w:val="0"/>
          <w:numId w:val="8"/>
        </w:num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ODRs (desired outcome - decrease in ODRs in this grade level - knowledge &amp; skills transferred into behavior change) </w:t>
      </w:r>
      <w:r>
        <w:rPr>
          <w:rFonts w:ascii="Comic Sans MS" w:eastAsia="Comic Sans MS" w:hAnsi="Comic Sans MS" w:cs="Comic Sans MS"/>
          <w:i/>
          <w:color w:val="454545"/>
          <w:highlight w:val="white"/>
        </w:rPr>
        <w:t>-outcome</w:t>
      </w:r>
    </w:p>
    <w:p w:rsidR="00AC68A6" w:rsidRDefault="00AC68A6">
      <w:pPr>
        <w:spacing w:line="240" w:lineRule="auto"/>
        <w:rPr>
          <w:rFonts w:ascii="Comic Sans MS" w:eastAsia="Comic Sans MS" w:hAnsi="Comic Sans MS" w:cs="Comic Sans MS"/>
          <w:color w:val="454545"/>
          <w:highlight w:val="white"/>
        </w:rPr>
      </w:pPr>
    </w:p>
    <w:p w:rsidR="00AC68A6" w:rsidRDefault="008D08FC">
      <w:p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b/>
          <w:color w:val="454545"/>
          <w:highlight w:val="white"/>
        </w:rPr>
        <w:t xml:space="preserve">Career Domain: </w:t>
      </w:r>
      <w:r>
        <w:rPr>
          <w:rFonts w:ascii="Comic Sans MS" w:eastAsia="Comic Sans MS" w:hAnsi="Comic Sans MS" w:cs="Comic Sans MS"/>
          <w:color w:val="454545"/>
          <w:highlight w:val="white"/>
        </w:rPr>
        <w:t>Career Event at the Technical College for 6th grade students</w:t>
      </w:r>
    </w:p>
    <w:p w:rsidR="00AC68A6" w:rsidRDefault="008D08FC">
      <w:pPr>
        <w:numPr>
          <w:ilvl w:val="0"/>
          <w:numId w:val="3"/>
        </w:numPr>
        <w:spacing w:after="160"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Data: Pre-post test/survey </w:t>
      </w:r>
      <w:r>
        <w:rPr>
          <w:rFonts w:ascii="Comic Sans MS" w:eastAsia="Comic Sans MS" w:hAnsi="Comic Sans MS" w:cs="Comic Sans MS"/>
          <w:i/>
          <w:color w:val="454545"/>
          <w:highlight w:val="white"/>
        </w:rPr>
        <w:t>-perception</w:t>
      </w:r>
    </w:p>
    <w:p w:rsidR="00AC68A6" w:rsidRDefault="008D08FC">
      <w:pPr>
        <w:spacing w:before="280" w:after="160"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9.  Create the data collection pieces needed (if they do not already exist - ex: pre-post test/survey)</w:t>
      </w:r>
    </w:p>
    <w:p w:rsidR="00AC68A6" w:rsidRDefault="008D08FC">
      <w:p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10. Begin collecting data that is available to you to make your life easier (to prevent from having to collect it </w:t>
      </w:r>
    </w:p>
    <w:p w:rsidR="00AC68A6" w:rsidRDefault="008D08FC">
      <w:pPr>
        <w:spacing w:line="240" w:lineRule="auto"/>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      all at the very end)</w:t>
      </w:r>
    </w:p>
    <w:p w:rsidR="00AC68A6" w:rsidRDefault="00AC68A6">
      <w:pPr>
        <w:spacing w:after="160" w:line="240" w:lineRule="auto"/>
        <w:rPr>
          <w:rFonts w:ascii="Comic Sans MS" w:eastAsia="Comic Sans MS" w:hAnsi="Comic Sans MS" w:cs="Comic Sans MS"/>
          <w:highlight w:val="white"/>
        </w:rPr>
      </w:pPr>
    </w:p>
    <w:p w:rsidR="00AC68A6" w:rsidRDefault="008D08FC">
      <w:pPr>
        <w:spacing w:after="160" w:line="240" w:lineRule="auto"/>
        <w:rPr>
          <w:rFonts w:ascii="Comic Sans MS" w:eastAsia="Comic Sans MS" w:hAnsi="Comic Sans MS" w:cs="Comic Sans MS"/>
          <w:b/>
          <w:color w:val="434343"/>
          <w:highlight w:val="white"/>
        </w:rPr>
      </w:pPr>
      <w:r>
        <w:rPr>
          <w:rFonts w:ascii="Comic Sans MS" w:eastAsia="Comic Sans MS" w:hAnsi="Comic Sans MS" w:cs="Comic Sans MS"/>
          <w:b/>
          <w:color w:val="434343"/>
          <w:highlight w:val="white"/>
        </w:rPr>
        <w:t>IMPORTANT THINGS TO REMEMBER:</w:t>
      </w:r>
    </w:p>
    <w:p w:rsidR="00AC68A6" w:rsidRDefault="008D08FC">
      <w:pPr>
        <w:numPr>
          <w:ilvl w:val="0"/>
          <w:numId w:val="1"/>
        </w:numPr>
        <w:spacing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highlight w:val="white"/>
        </w:rPr>
        <w:t xml:space="preserve">The relationship between the data presented and the school counseling program should be </w:t>
      </w:r>
      <w:r>
        <w:rPr>
          <w:rFonts w:ascii="Comic Sans MS" w:eastAsia="Comic Sans MS" w:hAnsi="Comic Sans MS" w:cs="Comic Sans MS"/>
          <w:b/>
          <w:color w:val="454545"/>
          <w:highlight w:val="white"/>
        </w:rPr>
        <w:t>clearly stated</w:t>
      </w:r>
      <w:r>
        <w:rPr>
          <w:rFonts w:ascii="Comic Sans MS" w:eastAsia="Comic Sans MS" w:hAnsi="Comic Sans MS" w:cs="Comic Sans MS"/>
          <w:color w:val="454545"/>
          <w:highlight w:val="white"/>
        </w:rPr>
        <w:t xml:space="preserve"> </w:t>
      </w:r>
      <w:r>
        <w:rPr>
          <w:rFonts w:ascii="Comic Sans MS" w:eastAsia="Comic Sans MS" w:hAnsi="Comic Sans MS" w:cs="Comic Sans MS"/>
          <w:i/>
          <w:color w:val="454545"/>
          <w:highlight w:val="white"/>
        </w:rPr>
        <w:t>(ex: if there was a decrease in ODRs how did the school counseling program efforts help to create this behavior change)</w:t>
      </w:r>
    </w:p>
    <w:p w:rsidR="00AC68A6" w:rsidRDefault="00AC68A6">
      <w:pPr>
        <w:spacing w:line="240" w:lineRule="auto"/>
        <w:rPr>
          <w:rFonts w:ascii="Comic Sans MS" w:eastAsia="Comic Sans MS" w:hAnsi="Comic Sans MS" w:cs="Comic Sans MS"/>
          <w:i/>
          <w:color w:val="454545"/>
          <w:highlight w:val="white"/>
        </w:rPr>
      </w:pPr>
    </w:p>
    <w:p w:rsidR="00AC68A6" w:rsidRDefault="008D08FC">
      <w:pPr>
        <w:numPr>
          <w:ilvl w:val="0"/>
          <w:numId w:val="1"/>
        </w:numPr>
        <w:spacing w:after="160" w:line="240" w:lineRule="auto"/>
        <w:contextualSpacing/>
        <w:rPr>
          <w:rFonts w:ascii="Comic Sans MS" w:eastAsia="Comic Sans MS" w:hAnsi="Comic Sans MS" w:cs="Comic Sans MS"/>
          <w:color w:val="454545"/>
          <w:sz w:val="23"/>
          <w:szCs w:val="23"/>
          <w:highlight w:val="white"/>
        </w:rPr>
      </w:pPr>
      <w:r>
        <w:rPr>
          <w:rFonts w:ascii="Comic Sans MS" w:eastAsia="Comic Sans MS" w:hAnsi="Comic Sans MS" w:cs="Comic Sans MS"/>
          <w:color w:val="454545"/>
          <w:highlight w:val="white"/>
        </w:rPr>
        <w:t>A great way to start this process is to pinpoint the academic and behavioral concerns present in your school and create a list of interventions or things that you (the school counseling program) could implement to help create a positive change in behaviors.</w:t>
      </w:r>
    </w:p>
    <w:sectPr w:rsidR="00AC68A6">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3DA"/>
    <w:multiLevelType w:val="multilevel"/>
    <w:tmpl w:val="6EA0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0B11D2"/>
    <w:multiLevelType w:val="multilevel"/>
    <w:tmpl w:val="D74AF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93A93"/>
    <w:multiLevelType w:val="multilevel"/>
    <w:tmpl w:val="A05E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27E8D"/>
    <w:multiLevelType w:val="multilevel"/>
    <w:tmpl w:val="75B2A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15291C"/>
    <w:multiLevelType w:val="multilevel"/>
    <w:tmpl w:val="BF94477C"/>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261AC"/>
    <w:multiLevelType w:val="multilevel"/>
    <w:tmpl w:val="96F81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3324C6"/>
    <w:multiLevelType w:val="multilevel"/>
    <w:tmpl w:val="F0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D27C0E"/>
    <w:multiLevelType w:val="multilevel"/>
    <w:tmpl w:val="F4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AD02C3"/>
    <w:multiLevelType w:val="multilevel"/>
    <w:tmpl w:val="3012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287C66"/>
    <w:multiLevelType w:val="multilevel"/>
    <w:tmpl w:val="55BA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B172D6"/>
    <w:multiLevelType w:val="multilevel"/>
    <w:tmpl w:val="9C9A5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1"/>
  </w:num>
  <w:num w:numId="8">
    <w:abstractNumId w:val="9"/>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A6"/>
    <w:rsid w:val="0070737F"/>
    <w:rsid w:val="008D08FC"/>
    <w:rsid w:val="00AC68A6"/>
    <w:rsid w:val="00F4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ECEC9-B9B2-49C7-9920-05B79E46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44D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F44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ca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ounselor.org/asca/media/asca/home/MindsetsBehaviors.pdf" TargetMode="External"/><Relationship Id="rId5" Type="http://schemas.openxmlformats.org/officeDocument/2006/relationships/hyperlink" Target="http://www.wscaweb.org/WSCP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Hadler, Todd</dc:creator>
  <cp:lastModifiedBy>Hadler, Todd</cp:lastModifiedBy>
  <cp:revision>2</cp:revision>
  <dcterms:created xsi:type="dcterms:W3CDTF">2018-02-18T00:51:00Z</dcterms:created>
  <dcterms:modified xsi:type="dcterms:W3CDTF">2018-02-18T00:51:00Z</dcterms:modified>
</cp:coreProperties>
</file>